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:rsidR="00A91CD8" w:rsidRPr="00A91CD8" w:rsidRDefault="00A91CD8" w:rsidP="00A9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>Учебно-методическое объединение по экологическому образованию</w:t>
      </w:r>
    </w:p>
    <w:p w:rsidR="008E4A89" w:rsidRPr="00A91CD8" w:rsidRDefault="008E4A89" w:rsidP="00A91CD8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8E4A89" w:rsidRPr="008E4A89" w:rsidRDefault="008E4A89" w:rsidP="008E4A89">
      <w:pPr>
        <w:spacing w:after="0"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Первым заместителем Министра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И.А. Старовойтовой</w:t>
      </w:r>
    </w:p>
    <w:p w:rsidR="008E4A89" w:rsidRPr="008E4A89" w:rsidRDefault="008E4A89" w:rsidP="008E4A89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______________________2022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Регистрационный № ___________</w:t>
      </w:r>
    </w:p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БИОГЕОГРАФИЯ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Типовая учебная программа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по учебной дисциплине для специальности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1 - 31 02 01 География (по направлениям)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1-33 01 02 Геоэкология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1-56 02 02 Геоинформационные системы (по направлениям)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1-31 02 03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1 - 31 02 02 Гидрометеорология</w:t>
      </w:r>
    </w:p>
    <w:p w:rsidR="00FA558F" w:rsidRPr="008E4A89" w:rsidRDefault="00B43D3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39">
        <w:rPr>
          <w:rFonts w:ascii="Times New Roman" w:eastAsia="Calibri" w:hAnsi="Times New Roman" w:cs="Times New Roman"/>
          <w:sz w:val="28"/>
          <w:szCs w:val="28"/>
        </w:rPr>
        <w:t xml:space="preserve">1-31 02 04 </w:t>
      </w:r>
      <w:proofErr w:type="spellStart"/>
      <w:r w:rsidRPr="00B43D39">
        <w:rPr>
          <w:rFonts w:ascii="Times New Roman" w:eastAsia="Calibri" w:hAnsi="Times New Roman" w:cs="Times New Roman"/>
          <w:sz w:val="28"/>
          <w:szCs w:val="28"/>
        </w:rPr>
        <w:t>Геотехнологии</w:t>
      </w:r>
      <w:proofErr w:type="spellEnd"/>
      <w:r w:rsidRPr="00B43D39">
        <w:rPr>
          <w:rFonts w:ascii="Times New Roman" w:eastAsia="Calibri" w:hAnsi="Times New Roman" w:cs="Times New Roman"/>
          <w:sz w:val="28"/>
          <w:szCs w:val="28"/>
        </w:rPr>
        <w:t xml:space="preserve"> туризма и экскурсионная деятельность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A89" w:rsidRPr="008E4A89" w:rsidTr="008E4A89">
        <w:tc>
          <w:tcPr>
            <w:tcW w:w="4672" w:type="dxa"/>
          </w:tcPr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FA558F" w:rsidRPr="00FA558F" w:rsidRDefault="00FA558F" w:rsidP="00FA5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:rsidR="00FA558F" w:rsidRDefault="00FA558F" w:rsidP="00FA5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экологическому</w:t>
            </w:r>
          </w:p>
          <w:p w:rsidR="008E4A89" w:rsidRPr="008E4A89" w:rsidRDefault="00FA558F" w:rsidP="00FA5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FA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FA558F">
              <w:rPr>
                <w:rFonts w:ascii="Times New Roman" w:eastAsia="Calibri" w:hAnsi="Times New Roman" w:cs="Times New Roman"/>
                <w:sz w:val="28"/>
                <w:szCs w:val="28"/>
              </w:rPr>
              <w:t>Маскевич</w:t>
            </w:r>
            <w:proofErr w:type="spellEnd"/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FA558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673" w:type="dxa"/>
          </w:tcPr>
          <w:p w:rsidR="008E4A89" w:rsidRPr="008E4A89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 Касперович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__________________________2022</w:t>
            </w:r>
          </w:p>
        </w:tc>
      </w:tr>
      <w:tr w:rsidR="008E4A89" w:rsidRPr="008E4A89" w:rsidTr="008E4A89">
        <w:tc>
          <w:tcPr>
            <w:tcW w:w="4672" w:type="dxa"/>
          </w:tcPr>
          <w:p w:rsidR="008E4A89" w:rsidRPr="00A91CD8" w:rsidRDefault="008E4A89" w:rsidP="008E4A89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по естественнонаучному образованию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 Д.Г. Медведев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______________________2022</w:t>
            </w:r>
          </w:p>
        </w:tc>
        <w:tc>
          <w:tcPr>
            <w:tcW w:w="4673" w:type="dxa"/>
          </w:tcPr>
          <w:p w:rsidR="008E4A89" w:rsidRPr="00A91CD8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работе Государственного учреждения образования «Республиканский институт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высшей школы»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И.В. Титович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______________________2022</w:t>
            </w:r>
          </w:p>
        </w:tc>
      </w:tr>
    </w:tbl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Эксперт-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:rsidR="008E4A89" w:rsidRPr="00A91CD8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0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__________________2022</w:t>
      </w:r>
    </w:p>
    <w:p w:rsidR="00A91CD8" w:rsidRPr="00A91CD8" w:rsidRDefault="00A91CD8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6FC">
        <w:rPr>
          <w:rFonts w:ascii="Times New Roman" w:eastAsia="Calibri" w:hAnsi="Times New Roman" w:cs="Times New Roman"/>
          <w:sz w:val="28"/>
          <w:szCs w:val="28"/>
        </w:rPr>
        <w:t>Минск 202</w:t>
      </w:r>
      <w:r w:rsidRPr="008E4A8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E4A89" w:rsidRPr="008E4A89" w:rsidRDefault="008E4A89" w:rsidP="008E4A89">
      <w:pPr>
        <w:pageBreakBefore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E4A89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Составители: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Матюшевская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Е.В., заведующий кафедрой физической географии мира и образовательных технологий факультета географии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Белорусского государственного университета, кандидат географических наук, доцент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Абрамова И.В., доцент кафедры доцент кафедры географии и природопользования факультета естествознания Брестского государственного университета имени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кандидат биологических наук, доцент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Писарчук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Н.М., старший преподаватель кафедры физической географии мира и образовательных технологий факультета географии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Белорусского государственного университета</w:t>
      </w: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i/>
          <w:color w:val="404040"/>
          <w:sz w:val="28"/>
          <w:szCs w:val="28"/>
        </w:rPr>
      </w:pPr>
      <w:r w:rsidRPr="008E4A89">
        <w:rPr>
          <w:rFonts w:ascii="Times New Roman" w:eastAsia="Calibri" w:hAnsi="Times New Roman" w:cs="Times New Roman"/>
          <w:caps/>
          <w:sz w:val="28"/>
          <w:szCs w:val="28"/>
        </w:rPr>
        <w:t>Рецензенты: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Кафедра географии и методики преподавания географии факультета естествознания БГПУ имени Максима Танка (протокол №__ от ___________)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Груммо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Д.Г., директор Института экспериментальной ботаники имени В.Ф.</w:t>
      </w:r>
      <w:r w:rsidR="000B13CA"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Купревича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кандидат биологических наук</w:t>
      </w: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Кафедрой физической географии мира и образовательных технологий факультета географии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БГУ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г.);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Белорусского государственного университета (протокол № __ от _____________________ г.);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г.).</w:t>
      </w:r>
    </w:p>
    <w:p w:rsidR="008E4A89" w:rsidRPr="00A91CD8" w:rsidRDefault="008E4A89" w:rsidP="00A91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CD8" w:rsidRPr="00A10DF1" w:rsidRDefault="00A91CD8" w:rsidP="00A9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</w:t>
      </w:r>
      <w:proofErr w:type="spellStart"/>
      <w:r w:rsidRPr="00A10DF1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Pr="00A10DF1">
        <w:rPr>
          <w:rFonts w:ascii="Times New Roman" w:hAnsi="Times New Roman" w:cs="Times New Roman"/>
          <w:sz w:val="28"/>
          <w:szCs w:val="28"/>
        </w:rPr>
        <w:t xml:space="preserve"> и геоэкологии Учебно-методического объединения по экологическому образованию</w:t>
      </w:r>
    </w:p>
    <w:p w:rsidR="00A91CD8" w:rsidRPr="00A91CD8" w:rsidRDefault="00A91CD8" w:rsidP="00A9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>(протокол № __ от _____________________ г.)</w:t>
      </w:r>
    </w:p>
    <w:p w:rsidR="00A91CD8" w:rsidRPr="00027557" w:rsidRDefault="00A91CD8" w:rsidP="00A91CD8">
      <w:pPr>
        <w:jc w:val="both"/>
        <w:rPr>
          <w:color w:val="000000"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редакцию: Е.В.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Матюшевская</w:t>
      </w:r>
      <w:proofErr w:type="spellEnd"/>
    </w:p>
    <w:p w:rsidR="00A91CD8" w:rsidRDefault="008E4A89" w:rsidP="00A9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выпуск: Е.В.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Матюшевская</w:t>
      </w:r>
      <w:proofErr w:type="spellEnd"/>
    </w:p>
    <w:p w:rsidR="008E4A89" w:rsidRPr="008E4A89" w:rsidRDefault="008E4A89" w:rsidP="00A91CD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FF0000"/>
          <w:sz w:val="28"/>
          <w:szCs w:val="28"/>
        </w:rPr>
        <w:br w:type="column"/>
      </w: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ПОЯСНИТЕЛЬНАЯ ЗАПИСКА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spacing w:val="-4"/>
          <w:sz w:val="28"/>
        </w:rPr>
        <w:t>Биогеография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наука о географическом распространении и размещении на Земле организмов и их сообществ. Она изучает, на какой территории распространены и как размещены объекты ее исследования – растения, живот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ные, грибы и микроорганизмы, которые в совокупности образуют органический мир Земли. Следовательно, биогеография – это наука о распространении и размещении жизни на Земле.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Органический мир Земли в рамках биогеографии исследуется с двух позиций – биологической и географической, отвечая на следующие вопросы: как он организован и каким образом распространен. При биологическом подходе биогеография распадается на географию растений, географию животных, географию грибов и географию микроорганизмов, а также на географию их таксономических представителей (отдельных видов, родов и т. д.). При географическом – биогеография подразделяется на биогеографию материков, биогеографию океанов и биогеографию их различных хорологических частей.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Растения, животные, грибы и микроорганизмы на конкретных территориях (суше, материках, равнинах, низменностях и т. д., а также в морских и пресноводных бассейнах образуют соответствующие сообщества – растительный покров, животное население, сообщества грибов и сообщества микроорганизмов. Соответственно биогеография подразделяется на географию растительного покрова, географию животного населения и другие отделы с соответствующими объектами и законами исследования. Общая география сообществ основывается на общих законах распространения сообществ.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Существуют следующие подходы к изучению проблем биогеографии: филогенетический, инвентаризационный, сравнительно-региональный и каузальный (причинный).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Дисциплина «Биогеография» тесно связана с предметами географического цикла. Для усвоения основ биогеографии студентами привлекаются знания, полученные ими при изучении цикла специальных дисциплин государственного компонента и компонента учреждения высшего образования: общего землеведения, ландшафтоведения, климатологии, метеорологии, геоморфологии, гидрологии, географии почв, экологии и др. В </w:t>
      </w:r>
      <w:proofErr w:type="spellStart"/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межпредметном</w:t>
      </w:r>
      <w:proofErr w:type="spellEnd"/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отношении биогеографическая информация обогащает содержание физической географии мира и отдельных регионов мира и отдельных регионов. Кроме этого, дисциплина требует знаний биологических свойств, морфологии, физиологии и экологии растительных и животных организмов, умения широко использовать данные о специфике взаимодействий организмов и их сообществ меду собой и со средой.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Цели и задачи учебной дисциплины</w:t>
      </w:r>
    </w:p>
    <w:p w:rsidR="008E4A89" w:rsidRPr="008E4A89" w:rsidRDefault="008E4A89" w:rsidP="008E4A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2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Цель дисциплины</w:t>
      </w:r>
      <w:r w:rsidRPr="008E4A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формирование у студентов системы знаний о географических и биологических закономерностях распространения живых организмов и их сообществ по поверхности земного шара, </w:t>
      </w:r>
      <w:r w:rsidRPr="008E4A89">
        <w:rPr>
          <w:rFonts w:ascii="Times New Roman" w:eastAsia="Calibri" w:hAnsi="Times New Roman" w:cs="Times New Roman"/>
          <w:spacing w:val="-6"/>
          <w:sz w:val="28"/>
        </w:rPr>
        <w:t>структурно-функциональных и исторических особенностях живого покрова нашей планеты.</w:t>
      </w:r>
    </w:p>
    <w:p w:rsidR="008E4A89" w:rsidRPr="008E4A89" w:rsidRDefault="008E4A89" w:rsidP="008E4A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Задачи: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1. 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Обеспечение непрерывности и преемственности географического и экологического образования.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A89" w:rsidRPr="008E4A89" w:rsidRDefault="008E4A89" w:rsidP="008E4A8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2. Формирование и развитие системы основных понятий в области биогеографии.</w:t>
      </w:r>
    </w:p>
    <w:p w:rsidR="008E4A89" w:rsidRPr="008E4A89" w:rsidRDefault="008E4A89" w:rsidP="008E4A8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3. Обобщение и систематизация знаний о биоразнообразии Земли и 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закономерностях </w:t>
      </w:r>
      <w:r w:rsidRPr="008E4A8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географического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распространения организмов и сообществ в настоящее время и прошлые геологические эпохи.</w:t>
      </w:r>
    </w:p>
    <w:p w:rsidR="008E4A89" w:rsidRPr="008E4A89" w:rsidRDefault="008E4A89" w:rsidP="008E4A89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4. </w:t>
      </w:r>
      <w:r w:rsidRPr="008E4A89">
        <w:rPr>
          <w:rFonts w:ascii="Times New Roman" w:eastAsia="Calibri" w:hAnsi="Times New Roman" w:cs="Times New Roman"/>
          <w:spacing w:val="-6"/>
          <w:sz w:val="28"/>
          <w:szCs w:val="28"/>
        </w:rPr>
        <w:t>Формирование знаний о современном флористическом, фаунистическом и биотическом районировании суши и океана, зональных особенностях биоценозов, структурно-функциональных особенностях основных биомов суши.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в системе подготовки специалиста с высшим образованием.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Учебная дисциплина относится к модулю «Почвенно-биогеографический» государственного компонента</w:t>
      </w:r>
      <w:r w:rsidRPr="008E4A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специальностей География (направление научно-педагогическая деятельность), Геоэкология, Геоинформационные системы, модулю «Почвенно-биогеографический» компонента учреждения образования для специальностей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Космоаэрокартография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Гидрометеорология, циклу специальных дисциплин для специальности География (направление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геодемография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sz w:val="28"/>
          <w:szCs w:val="28"/>
        </w:rPr>
        <w:t>Учебная дисциплина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связана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с такими дисциплинами государственного компонента: «Общее землеведение» (для специальностей География, Геоинформационные системы, Геоэкология, Гидрометеорология,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), «Общая экология» (для специальности Геоэкология), «Почвоведение» (для специальностей География, Геоэкология), «Ландшафтоведение» (для специальностей Геоэкология, География), «Физическая география материков» (для специальностей География, Геоэкология), «Гидробиология» (для специальности Гидрометеорология) компонента учреждения высшего образования: «Ландшафтоведение» (для специальностей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Геинформационные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системы, Гидрометеорология,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), «Физическая география мира» (для специальностей Геоинформационные системы, Гидрометеорология,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), «Физическая география Беларуси» (для специальностей Геоинформационные системы, Геоэкология, Гидрометеорология,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компетенциям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учебной дисциплины «Биогеография» 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>должно обеспечить формирование следующих базовых профессиональных и специализированных</w:t>
      </w:r>
      <w:r w:rsidRPr="008E4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>компетенций: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базовые профессиональные </w:t>
      </w:r>
      <w:r w:rsidRPr="008E4A89">
        <w:rPr>
          <w:rFonts w:ascii="Times New Roman" w:eastAsia="Calibri" w:hAnsi="Times New Roman" w:cs="Times New Roman"/>
          <w:sz w:val="28"/>
          <w:szCs w:val="28"/>
        </w:rPr>
        <w:t>компетенции: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БПК-7 – применять знания о структуре биоценозов, ареалов распространения растений и животных, принципах флористического и фаунистического районирования для проведения геоботанических и зоогеографических исследований (для специальностей География (по направлениям), Геоэкология);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специализированные </w:t>
      </w:r>
      <w:r w:rsidRPr="008E4A89">
        <w:rPr>
          <w:rFonts w:ascii="Times New Roman" w:eastAsia="Calibri" w:hAnsi="Times New Roman" w:cs="Times New Roman"/>
          <w:sz w:val="28"/>
          <w:szCs w:val="28"/>
        </w:rPr>
        <w:t>компетенции: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СК-2 – быть способным применять знания о структуре биоценозов, типах и формах ареалов распространения растений и животных, принципах флористического и фаунистического районирования для проведения геоботанических и зоогеографических исследований, выделения растительных ассоциаций, проведения комплексного геоботанического описания различных типов растительности и фаунистических комплексов (для специальности Гидрометеорология);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СК-3 – применять знания о структуре биоценозов, ареалов распространения растений и животных, принципах флористического и фаунистического районирования для проведения геоботанических и зоогеографических исследований (для специальности Геоинформационные системы);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СК-7 – быть способным применять знания о структуре биоценозов, типах и формах ареалов распространения растений и животных, принципах флористического и фаунистического районирования для проведения геоботанических и зоогеографических исследований, выделения растительных ассоциаций, проведения комплексного геоботанического описания различных типов растительности и фаунистических комплексов (для специальности </w:t>
      </w:r>
      <w:proofErr w:type="spellStart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Космоаэрокартография</w:t>
      </w:r>
      <w:proofErr w:type="spellEnd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  <w:r w:rsidRPr="008E4A89">
        <w:rPr>
          <w:rFonts w:ascii="Times New Roman" w:eastAsia="Calibri" w:hAnsi="Times New Roman" w:cs="Times New Roman"/>
          <w:sz w:val="28"/>
          <w:szCs w:val="28"/>
        </w:rPr>
        <w:t>типы и формы ареалов распространения животных и растений; структуру биоценозов и их классификацию; принципы флористического и фаунистического районирования земного шара и отдельных регионов; основных представителей флоры и фауны биомов суши и водных экосистем, в том числе Беларуси; причины и факторы, определяющие распространение современных организмов и живших в прошлые геологические эпохи;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выделять из состава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биоты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доминантные,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субдоминантные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эндемические и реликтовые виды; выделять растительные ассоциации при полевых исследованиях; производить комплексные геоботанические описания лесной, луговой и болотной растительности;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>методами проведения геоботанических и зоогеографических исследований; навыками картографирования растительного покрова; навыками составления и описания гербариев.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Структура учебной дисциплины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Дисциплина изучается во 2</w:t>
      </w:r>
      <w:r w:rsidR="00EC09C8">
        <w:rPr>
          <w:rFonts w:ascii="Times New Roman" w:eastAsia="Calibri" w:hAnsi="Times New Roman" w:cs="Times New Roman"/>
          <w:sz w:val="28"/>
          <w:szCs w:val="28"/>
        </w:rPr>
        <w:t>-м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семестре</w:t>
      </w:r>
      <w:r w:rsidR="00EC09C8" w:rsidRPr="00EC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C8" w:rsidRPr="00A10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формы получения высшего образования</w:t>
      </w:r>
      <w:r w:rsidRPr="00A10DF1">
        <w:rPr>
          <w:rFonts w:ascii="Times New Roman" w:eastAsia="Calibri" w:hAnsi="Times New Roman" w:cs="Times New Roman"/>
          <w:sz w:val="28"/>
          <w:szCs w:val="28"/>
        </w:rPr>
        <w:t xml:space="preserve">. Всего на изучение учебной дисциплины </w:t>
      </w:r>
      <w:r w:rsidRPr="00A10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«Биогеография» </w:t>
      </w:r>
      <w:r w:rsidRPr="00A10DF1">
        <w:rPr>
          <w:rFonts w:ascii="Times New Roman" w:eastAsia="Calibri" w:hAnsi="Times New Roman" w:cs="Times New Roman"/>
          <w:sz w:val="28"/>
          <w:szCs w:val="28"/>
        </w:rPr>
        <w:t>отведено: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</w:rPr>
        <w:t xml:space="preserve">– для очной формы получения высшего образования –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116 часов, в том числе 72 аудиторных часа, из них: лекции </w:t>
      </w:r>
      <w:r w:rsidRPr="008E4A8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46 часов, практические занятия – 14 часов (10 часов аудиторных, 4 часа дистанционных), лабораторные занятия – 4 часа, управляемая самостоятельная работа – 8 дистанционных часов.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Трудоемкость учебной дисциплины составляет 3 зачетные единицы.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Форма текущей аттестации</w:t>
      </w:r>
      <w:r w:rsidRPr="008E4A89" w:rsidDel="003E1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371502041"/>
          <w:placeholder>
            <w:docPart w:val="BAC7E99DE15E40B2BAB8A29378E84489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Pr="008E4A89">
            <w:rPr>
              <w:rFonts w:ascii="Times New Roman" w:eastAsia="Calibri" w:hAnsi="Times New Roman" w:cs="Times New Roman"/>
              <w:sz w:val="28"/>
              <w:szCs w:val="28"/>
            </w:rPr>
            <w:t>экзамен</w:t>
          </w:r>
        </w:sdtContent>
      </w:sdt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для всех специальностей.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:rsidR="008E4A89" w:rsidRPr="008E4A89" w:rsidRDefault="008E4A89" w:rsidP="008E4A89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>2. ПРИМЕРНЫЙ ТЕМАТИЧЕСКИЙ ПЛАН</w:t>
      </w:r>
    </w:p>
    <w:p w:rsidR="008E4A89" w:rsidRPr="008E4A89" w:rsidRDefault="008E4A89" w:rsidP="008E4A89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525"/>
        <w:gridCol w:w="1155"/>
        <w:gridCol w:w="850"/>
        <w:gridCol w:w="993"/>
        <w:gridCol w:w="991"/>
        <w:gridCol w:w="995"/>
      </w:tblGrid>
      <w:tr w:rsidR="008E4A89" w:rsidRPr="008E4A89" w:rsidTr="007008A4">
        <w:trPr>
          <w:jc w:val="center"/>
        </w:trPr>
        <w:tc>
          <w:tcPr>
            <w:tcW w:w="382" w:type="pct"/>
            <w:vMerge w:val="restart"/>
            <w:vAlign w:val="center"/>
          </w:tcPr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3" w:type="pct"/>
            <w:vMerge w:val="restart"/>
            <w:vAlign w:val="center"/>
          </w:tcPr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разделов (модулей) и тем</w:t>
            </w:r>
          </w:p>
        </w:tc>
        <w:tc>
          <w:tcPr>
            <w:tcW w:w="2705" w:type="pct"/>
            <w:gridSpan w:val="5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E4A89" w:rsidRPr="008E4A89" w:rsidTr="007008A4">
        <w:trPr>
          <w:jc w:val="center"/>
        </w:trPr>
        <w:tc>
          <w:tcPr>
            <w:tcW w:w="382" w:type="pct"/>
            <w:vMerge/>
            <w:vAlign w:val="center"/>
          </w:tcPr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pct"/>
            <w:vMerge/>
            <w:vAlign w:val="center"/>
          </w:tcPr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pct"/>
            <w:gridSpan w:val="5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</w:p>
        </w:tc>
      </w:tr>
      <w:tr w:rsidR="008E4A89" w:rsidRPr="008E4A89" w:rsidTr="007008A4">
        <w:trPr>
          <w:cantSplit/>
          <w:trHeight w:val="2003"/>
          <w:jc w:val="center"/>
        </w:trPr>
        <w:tc>
          <w:tcPr>
            <w:tcW w:w="382" w:type="pct"/>
            <w:vMerge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pct"/>
            <w:vMerge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textDirection w:val="btL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Аудиторных</w:t>
            </w:r>
          </w:p>
        </w:tc>
        <w:tc>
          <w:tcPr>
            <w:tcW w:w="461" w:type="pct"/>
            <w:textDirection w:val="btLr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539" w:type="pct"/>
            <w:textDirection w:val="btLr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38" w:type="pct"/>
            <w:textDirection w:val="btLr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Семинарские</w:t>
            </w:r>
          </w:p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0" w:type="pct"/>
            <w:textDirection w:val="btLr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</w:t>
            </w:r>
          </w:p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8E4A89" w:rsidRPr="008E4A89" w:rsidTr="007008A4">
        <w:trPr>
          <w:trHeight w:val="300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300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Биогеография в системе географических и биологических наук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261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основы биогеографии. Экологические факторы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8E4A89" w:rsidRPr="008E4A89" w:rsidTr="007008A4">
        <w:trPr>
          <w:trHeight w:val="261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основы биогеографии. Учение о биоценозах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8E4A89" w:rsidRPr="008E4A89" w:rsidTr="007008A4">
        <w:trPr>
          <w:trHeight w:val="261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Органический мир Земли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8E4A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E4A89" w:rsidRPr="008E4A89" w:rsidTr="007008A4">
        <w:trPr>
          <w:trHeight w:val="261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закономерности распространения</w:t>
            </w:r>
          </w:p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флор и фаун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261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зональные и горные биомы суши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259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Учение Н.И. Вавилова о центрах происхождения</w:t>
            </w:r>
          </w:p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растений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259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Биогеография океанов, морей, островов и пресных вод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259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529"/>
          <w:jc w:val="center"/>
        </w:trPr>
        <w:tc>
          <w:tcPr>
            <w:tcW w:w="382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3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биогеографии в рациональном</w:t>
            </w:r>
          </w:p>
          <w:p w:rsidR="008E4A89" w:rsidRPr="008E4A89" w:rsidRDefault="008E4A89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использовании и охране биологических ресурсов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A89" w:rsidRPr="008E4A89" w:rsidTr="007008A4">
        <w:trPr>
          <w:trHeight w:val="366"/>
          <w:jc w:val="center"/>
        </w:trPr>
        <w:tc>
          <w:tcPr>
            <w:tcW w:w="2295" w:type="pct"/>
            <w:gridSpan w:val="2"/>
            <w:vAlign w:val="center"/>
          </w:tcPr>
          <w:p w:rsidR="008E4A89" w:rsidRPr="008E4A89" w:rsidRDefault="008E4A89" w:rsidP="008E4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627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1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39" w:type="pct"/>
            <w:vAlign w:val="center"/>
          </w:tcPr>
          <w:p w:rsidR="008E4A89" w:rsidRPr="00A10DF1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8E4A89" w:rsidRPr="008E4A89" w:rsidRDefault="008E4A89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8E4A89" w:rsidRPr="008E4A89" w:rsidRDefault="008E4A89" w:rsidP="008E4A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3. СОДЕРЖАНИЕ УЧЕБНОГО МАТЕРИАЛА</w:t>
      </w:r>
    </w:p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Введение. </w:t>
      </w:r>
      <w:r w:rsidRPr="008E4A89">
        <w:rPr>
          <w:rFonts w:ascii="Times New Roman" w:eastAsia="Calibri" w:hAnsi="Times New Roman" w:cs="Times New Roman"/>
          <w:sz w:val="28"/>
          <w:szCs w:val="28"/>
        </w:rPr>
        <w:t>Предмет, цели и задачи курса. Структурно-функциональные уровни организации живой материи. Структурные биологические и географические отрасли биогеографии. Взаимосвязь м</w:t>
      </w:r>
      <w:r w:rsidR="00757925">
        <w:rPr>
          <w:rFonts w:ascii="Times New Roman" w:eastAsia="Calibri" w:hAnsi="Times New Roman" w:cs="Times New Roman"/>
          <w:sz w:val="28"/>
          <w:szCs w:val="28"/>
        </w:rPr>
        <w:t>ежду биогеографией и экологией.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Основные понятия биогеографии: флора, фауна,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биота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растительность, растительный покров, животное н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аселение (животный мир), </w:t>
      </w:r>
      <w:proofErr w:type="spellStart"/>
      <w:r w:rsidR="00757925">
        <w:rPr>
          <w:rFonts w:ascii="Times New Roman" w:eastAsia="Calibri" w:hAnsi="Times New Roman" w:cs="Times New Roman"/>
          <w:sz w:val="28"/>
          <w:szCs w:val="28"/>
        </w:rPr>
        <w:t>биота</w:t>
      </w:r>
      <w:proofErr w:type="spellEnd"/>
      <w:r w:rsidR="00757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Основные понятия экологии: биоценоз, биом, популяция, среда (природная, окружающая), экосистема,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экотон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E4A89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Раздел 1.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Биогеография в системе геогр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афических и биологических наук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Pr="008E4A89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pacing w:val="-2"/>
          <w:sz w:val="18"/>
          <w:szCs w:val="1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Основные этапы развития биогеографии (по Воронову, 1987). Начальный этап накопления информации о животном и растительном мире Земли в условиях господства библейского мифа о сотворении мира. Обобщение ботанико-географических и зоогеографических данных в свете теории катастроф от конца XVIII в. до середины XIX в.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Развитие ботанико-географических, зоогеографических и экологических исследований на основе теории эволюции Ч. Дарвина во второй половине XIX</w:t>
      </w:r>
      <w:r w:rsidR="0075792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E4A89">
        <w:rPr>
          <w:rFonts w:ascii="Times New Roman" w:eastAsia="Calibri" w:hAnsi="Times New Roman" w:cs="Times New Roman"/>
          <w:sz w:val="28"/>
          <w:szCs w:val="28"/>
        </w:rPr>
        <w:t>в. Разработка учения о растительных сообществах, дальнейшее развитие экологического и исторического направлений ботанической географии, попытки создания единой биогеографии, формирование учения о би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осфере в первой половине XX в.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Развитие единой биогеографии и ее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экологизация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бурный рост биогеографических и экологических исследований во всем мире, изучение процессов, охватывающих биосферу в целом от середины XX в. до наших дней.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Раздел 2. 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>Экологические основы биог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еографии. Экологические факторы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Факторы среды.</w:t>
      </w:r>
      <w:r w:rsidRPr="008E4A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Классификации экологических факторов (по значимости для организма, происхождению)</w:t>
      </w:r>
      <w:r w:rsidRPr="008E4A89">
        <w:rPr>
          <w:rFonts w:ascii="Times New Roman" w:eastAsia="Calibri" w:hAnsi="Times New Roman" w:cs="Times New Roman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Интенсивность (доза) действия фактора. Зона оптимума (комфорта), зона пессимума. Летальная зона. Пределы выносливости (границы толерантности) вида по отношению к данному фактору.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Экологическая амплитуда и экологическая валентность (пластичность, толерантность) вида.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Стено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- и эврибионтные виды.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Факторы императивные и ограничивающие (лимитирующие). Закон минимума Ю. Либиха. </w:t>
      </w: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Закон толерантности, и</w:t>
      </w:r>
      <w:r w:rsidR="00757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ли закон максимума В. </w:t>
      </w:r>
      <w:proofErr w:type="spellStart"/>
      <w:r w:rsidR="00757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Шелфорда</w:t>
      </w:r>
      <w:proofErr w:type="spellEnd"/>
      <w:r w:rsidR="00757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Гипотеза компенсации (замещения) факторов Алехина-</w:t>
      </w:r>
      <w:proofErr w:type="spellStart"/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Рюбеля</w:t>
      </w:r>
      <w:proofErr w:type="spellEnd"/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Правило предварения Алёхина. Правило Бергмана. Правило (закон) Аллена.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Закон квантитативной компенсации. Суммация факторов.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Синэргизм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Абиотические факторы среды. Климатические факторы.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Тепло, его роль в жизни организмов.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Взаимодействие между температурой и влажностью воздуха </w:t>
      </w:r>
      <w:r w:rsidR="00757925">
        <w:rPr>
          <w:rFonts w:ascii="Times New Roman" w:eastAsia="Calibri" w:hAnsi="Times New Roman" w:cs="Times New Roman"/>
          <w:sz w:val="28"/>
          <w:szCs w:val="28"/>
        </w:rPr>
        <w:t>в климатических условиях среды.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Приспособления организмов к неблагоприятным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погодно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-климатическим условиям. Ветер,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его роль в жизни организмов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Свет в жизни организмов.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Экологические группы растений по отношению к свету. </w:t>
      </w:r>
      <w:r w:rsidRPr="008E4A89">
        <w:rPr>
          <w:rFonts w:ascii="Times New Roman" w:eastAsia="Calibri" w:hAnsi="Times New Roman" w:cs="Times New Roman"/>
          <w:sz w:val="28"/>
          <w:szCs w:val="28"/>
        </w:rPr>
        <w:t>Фотопериодизм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 и фотопериодическая адаптация.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Эдафические факторы. Фундаментальные свойства почвы как экологический фактор (гранулометрический и минералогический состав, плодородие). </w:t>
      </w:r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Экологические группы растений по отношению к плодородию почвы (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эу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-, мезо- и олиготрофы) и рН почвы (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ацидо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-, 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нейтро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и 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базифиты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содержанию отдельных элементов (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нитрофилы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кальцефилы и кальцефобы).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 Псаммофиты.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Вода как совокупность экологических факторов.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адаптации растений к недостатку и избытку влаги. Экологические группы растений по отношению к влажности (эври- и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стеногигробионты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</w:t>
      </w:r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водному режиму 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экотопа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(г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идатофиты, гидрофиты, гигрофиты, мезофиты, ксерофиты). Экологические группы животных по отношению к </w:t>
      </w:r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водному режиму </w:t>
      </w:r>
      <w:proofErr w:type="spellStart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экотопа</w:t>
      </w:r>
      <w:proofErr w:type="spellEnd"/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игрофилы, </w:t>
      </w:r>
      <w:proofErr w:type="spellStart"/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мезофилы</w:t>
      </w:r>
      <w:proofErr w:type="spellEnd"/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, ксерофилы).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Орографические факторы. Рельеф и микрорельеф в вертикальной дифференциации сообществ. Ионизирующее излучение как экологический фактор. Последствия аварии на атомных электростанциях и применения атомного оружия.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среды. Внутривидовые и межвидовые факторы. Жизненные формы растений и животных.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Антропические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(антропогенные) факторы среды: изменение численности организмов, переселение организмов (целенаправленное и случайное), изменение среды обитания организмов. Проблема сохранения биоразнообразия и пути ее решения.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3328D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3. Экологические основы биогеографии. Учение о биоценозе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Популяция как эволюционная и пространственная единица вида. Понятия фенотипа, генотипа и генофонда.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признаки популяции. Свойства популяции (численность, плотность, структура, рождаемость, смертность, рост численности). Пространственная структура популяции.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Понятие о жизненных стратегиях организмов. Способы расселения организмов. 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Биоценоз и его основные компоненты: </w:t>
      </w:r>
      <w:r w:rsidRPr="008E4A89">
        <w:rPr>
          <w:rFonts w:ascii="Times New Roman" w:eastAsia="Calibri" w:hAnsi="Times New Roman" w:cs="Times New Roman"/>
          <w:iCs/>
          <w:sz w:val="28"/>
        </w:rPr>
        <w:t>фитоценоз</w:t>
      </w:r>
      <w:r w:rsidRPr="008E4A89">
        <w:rPr>
          <w:rFonts w:ascii="Times New Roman" w:eastAsia="Calibri" w:hAnsi="Times New Roman" w:cs="Times New Roman"/>
          <w:sz w:val="28"/>
          <w:szCs w:val="28"/>
        </w:rPr>
        <w:t>,</w:t>
      </w:r>
      <w:r w:rsidRPr="008E4A89">
        <w:rPr>
          <w:rFonts w:ascii="Times New Roman" w:eastAsia="Calibri" w:hAnsi="Times New Roman" w:cs="Times New Roman"/>
          <w:iCs/>
          <w:sz w:val="28"/>
        </w:rPr>
        <w:t xml:space="preserve"> зооценоз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89">
        <w:rPr>
          <w:rFonts w:ascii="Times New Roman" w:eastAsia="Calibri" w:hAnsi="Times New Roman" w:cs="Times New Roman"/>
          <w:iCs/>
          <w:sz w:val="28"/>
        </w:rPr>
        <w:t>микоценоз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E4A89">
        <w:rPr>
          <w:rFonts w:ascii="Times New Roman" w:eastAsia="Calibri" w:hAnsi="Times New Roman" w:cs="Times New Roman"/>
          <w:iCs/>
          <w:sz w:val="28"/>
        </w:rPr>
        <w:t xml:space="preserve"> </w:t>
      </w:r>
      <w:proofErr w:type="spellStart"/>
      <w:r w:rsidRPr="008E4A89">
        <w:rPr>
          <w:rFonts w:ascii="Times New Roman" w:eastAsia="Calibri" w:hAnsi="Times New Roman" w:cs="Times New Roman"/>
          <w:iCs/>
          <w:sz w:val="28"/>
        </w:rPr>
        <w:t>микробоценоз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Биотоп,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экотоп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биохора и жизненные области.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Видовая, или таксономическая структура биоценоза. Видовое богатство и видовая насыщенность.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Фитоценотипы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Доминанты, субдоминанты,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супердоминанты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Эдификаторы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их роль в формировании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фитосреды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Ассектаторы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Экотонный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, или краевой эффект.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Пространственная структура биоценоза.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Вертикальная структура. Надземная и подземная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ярусность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Горизонтальная структура биоценоза.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Синузия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Отношения между организмами в биоценозе.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Консорция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Межвидовые связи в биоценозе. Св</w:t>
      </w:r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язи трофические, топические, </w:t>
      </w:r>
      <w:proofErr w:type="spellStart"/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фо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рические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фабрические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. Основные формы взаимосвязей организмов (по Ю. 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Одуму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). Концепция экологичес</w:t>
      </w:r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кой ниши. Местообитание и экологическая ниша.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Динамика биоценоза (суточная, сезонная, многолетняя). Стадии формирования биоценоза. Сукцессии первичные и в</w:t>
      </w:r>
      <w:r w:rsidR="00757925">
        <w:rPr>
          <w:rFonts w:ascii="Times New Roman" w:eastAsia="Calibri" w:hAnsi="Times New Roman" w:cs="Times New Roman"/>
          <w:sz w:val="28"/>
          <w:szCs w:val="28"/>
        </w:rPr>
        <w:t>торичные. Флуктуации сообществ.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Классификация фитоценозов: ассоциация, группа ассоциаций, формация, группа формаций, класс формаций.</w:t>
      </w:r>
    </w:p>
    <w:p w:rsidR="008E4A89" w:rsidRPr="008E4A89" w:rsidRDefault="008E4A89" w:rsidP="008E4A8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здел 4. Органический мир Земли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Феномен жизни.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>Происхождение и развитие жизни на Земле. Исходные условия происхождения жизни. Гипотезы происхождения жизни на Земле (</w:t>
      </w:r>
      <w:r w:rsidR="00757925" w:rsidRPr="008E4A89">
        <w:rPr>
          <w:rFonts w:ascii="Times New Roman" w:eastAsia="Calibri" w:hAnsi="Times New Roman" w:cs="Times New Roman"/>
          <w:sz w:val="28"/>
          <w:szCs w:val="28"/>
        </w:rPr>
        <w:t>идеалистические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коацерватная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Опарина-</w:t>
      </w:r>
      <w:proofErr w:type="spellStart"/>
      <w:r w:rsidR="00757925">
        <w:rPr>
          <w:rFonts w:ascii="Times New Roman" w:eastAsia="Calibri" w:hAnsi="Times New Roman" w:cs="Times New Roman"/>
          <w:sz w:val="28"/>
          <w:szCs w:val="28"/>
        </w:rPr>
        <w:t>Холдейна</w:t>
      </w:r>
      <w:proofErr w:type="spellEnd"/>
      <w:r w:rsidR="00757925">
        <w:rPr>
          <w:rFonts w:ascii="Times New Roman" w:eastAsia="Calibri" w:hAnsi="Times New Roman" w:cs="Times New Roman"/>
          <w:sz w:val="28"/>
          <w:szCs w:val="28"/>
        </w:rPr>
        <w:t xml:space="preserve">, мира РНК </w:t>
      </w:r>
      <w:proofErr w:type="spellStart"/>
      <w:r w:rsidR="00757925">
        <w:rPr>
          <w:rFonts w:ascii="Times New Roman" w:eastAsia="Calibri" w:hAnsi="Times New Roman" w:cs="Times New Roman"/>
          <w:sz w:val="28"/>
          <w:szCs w:val="28"/>
        </w:rPr>
        <w:t>Везе</w:t>
      </w:r>
      <w:proofErr w:type="spellEnd"/>
      <w:r w:rsidR="00757925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Докембрийский период. Бактерии – первые клеточные формы жизни. Последний универсальный общий предок. Заселение организмами водной среды. </w:t>
      </w:r>
      <w:proofErr w:type="spellStart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Цианобактериальные</w:t>
      </w:r>
      <w:proofErr w:type="spellEnd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маты – первые сложно организованные экосистемы.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Фотосинтез, образование свободного кислорода в атмосфере и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озонового экрана. Появление эукариот и многоклеточных организмов. Ископаемые фауны протерозоя (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хайнаньская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э</w:t>
      </w:r>
      <w:r w:rsidRPr="008E4A89">
        <w:rPr>
          <w:rFonts w:ascii="Times New Roman" w:eastAsia="Calibri" w:hAnsi="Times New Roman" w:cs="Times New Roman"/>
          <w:sz w:val="28"/>
          <w:szCs w:val="28"/>
        </w:rPr>
        <w:t>ди</w:t>
      </w:r>
      <w:r w:rsidR="00757925">
        <w:rPr>
          <w:rFonts w:ascii="Times New Roman" w:eastAsia="Calibri" w:hAnsi="Times New Roman" w:cs="Times New Roman"/>
          <w:sz w:val="28"/>
          <w:szCs w:val="28"/>
        </w:rPr>
        <w:t>акарская</w:t>
      </w:r>
      <w:proofErr w:type="spellEnd"/>
      <w:r w:rsidR="00757925">
        <w:rPr>
          <w:rFonts w:ascii="Times New Roman" w:eastAsia="Calibri" w:hAnsi="Times New Roman" w:cs="Times New Roman"/>
          <w:sz w:val="28"/>
          <w:szCs w:val="28"/>
        </w:rPr>
        <w:t xml:space="preserve">, формация </w:t>
      </w:r>
      <w:proofErr w:type="spellStart"/>
      <w:r w:rsidR="00757925">
        <w:rPr>
          <w:rFonts w:ascii="Times New Roman" w:eastAsia="Calibri" w:hAnsi="Times New Roman" w:cs="Times New Roman"/>
          <w:sz w:val="28"/>
          <w:szCs w:val="28"/>
        </w:rPr>
        <w:t>Доушаньтуо</w:t>
      </w:r>
      <w:proofErr w:type="spellEnd"/>
      <w:r w:rsidR="007579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Палеозойский этап. Кембрийский эволюционный взрыв. Заселение растениями и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животными суши. Усложнение макроструктуры жизни </w:t>
      </w:r>
      <w:r w:rsidRPr="008E4A8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биосферы, возрастание биологического разнообразия.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Пермско-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триасовый кризис. Развитие жизни в мезозое. Появление и завоевание суши цветковыми растениями и млекопитающими. Великое вымирание динозавров. Кайнозойский этап. Формирование современной флоры, фауны и природной зональности.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Система органического мира. Три домена клеточных организмов (археи, бактерии и эукариоты). Современные представления о систематике эукариот. Характерные признаки зелёных растений, животных и грибов. Неклеточные формы жизни. Разнообразие организмов, населяющих Землю (краткая характеристика отделов – для растений и типов – для животных).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5. Географические закономерно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сти распространения флор и фаун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Понятие об ареале.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Формирование ареала. Видообразование. Изоляция. </w:t>
      </w:r>
      <w:proofErr w:type="spellStart"/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Вагильность</w:t>
      </w:r>
      <w:proofErr w:type="spellEnd"/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Пассивное (аллохория) и активное (автохория) расселение. Типы ареалов (по форме, величине, географическому положению и происхождению).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Непрерывность (континуальность) и дизъюнкции.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Причины формирования дизъюнкций. Викарирующие ареалы: географическое </w:t>
      </w: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(хорологическое) и экологическое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викарирование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Ложное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ви</w:t>
      </w:r>
      <w:r w:rsidR="00757925">
        <w:rPr>
          <w:rFonts w:ascii="Times New Roman" w:eastAsia="Calibri" w:hAnsi="Times New Roman" w:cs="Times New Roman"/>
          <w:sz w:val="28"/>
          <w:szCs w:val="28"/>
        </w:rPr>
        <w:t>карирование</w:t>
      </w:r>
      <w:proofErr w:type="spellEnd"/>
      <w:r w:rsidR="00757925">
        <w:rPr>
          <w:rFonts w:ascii="Times New Roman" w:eastAsia="Calibri" w:hAnsi="Times New Roman" w:cs="Times New Roman"/>
          <w:sz w:val="28"/>
          <w:szCs w:val="28"/>
        </w:rPr>
        <w:t>. Конвергенция форм.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Величина ареала и причины, ее определяющие.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Космополиты.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Эндемичные ареалы: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палеоэндемики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(реликтовые, консервативные)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неоэндемики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(прогрессивные). Особенности географического распределения эндемиков.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Условия формирования границ ареалов. Центры обилия особей и центры разнообразия форм. Порядок формирования структуры ареала: принцип </w:t>
      </w:r>
      <w:proofErr w:type="spellStart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стациальной</w:t>
      </w:r>
      <w:proofErr w:type="spellEnd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верности Г.Я. Бей-</w:t>
      </w:r>
      <w:proofErr w:type="spellStart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Биенко</w:t>
      </w:r>
      <w:proofErr w:type="spellEnd"/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правило предварения В.В. Алехина, правило зональной смены ярусов М.С. Гилярова. Автохтонный и аллохтонный ареал. Центры происхождения и центры видообразования. 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Динамика ареалов. Расширение, сжатие, фрагментация ареалов. Реликтовые ареалы: геоморфологические, формационные и климатические реликты.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Выявление и методы изображения ареала: </w:t>
      </w:r>
      <w:r w:rsidR="007726FC" w:rsidRPr="00757925">
        <w:rPr>
          <w:rFonts w:ascii="Times New Roman" w:eastAsia="Calibri" w:hAnsi="Times New Roman" w:cs="Times New Roman"/>
          <w:sz w:val="28"/>
          <w:szCs w:val="28"/>
        </w:rPr>
        <w:t>значков, контурный, сплошной заливки</w:t>
      </w:r>
      <w:r w:rsidR="00757925" w:rsidRPr="00757925">
        <w:rPr>
          <w:rFonts w:ascii="Times New Roman" w:eastAsia="Calibri" w:hAnsi="Times New Roman" w:cs="Times New Roman"/>
          <w:sz w:val="28"/>
          <w:szCs w:val="28"/>
        </w:rPr>
        <w:t>,</w:t>
      </w:r>
      <w:r w:rsidR="007726FC" w:rsidRPr="00757925">
        <w:rPr>
          <w:rFonts w:ascii="Times New Roman" w:eastAsia="Calibri" w:hAnsi="Times New Roman" w:cs="Times New Roman"/>
          <w:sz w:val="28"/>
          <w:szCs w:val="28"/>
        </w:rPr>
        <w:t xml:space="preserve"> комбинированный,</w:t>
      </w:r>
      <w:r w:rsidR="007726FC" w:rsidRPr="00757925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7726FC" w:rsidRPr="00757925">
        <w:rPr>
          <w:rFonts w:ascii="Times New Roman" w:eastAsia="Calibri" w:hAnsi="Times New Roman" w:cs="Times New Roman"/>
          <w:sz w:val="28"/>
          <w:szCs w:val="28"/>
        </w:rPr>
        <w:t>точечный, растровый, знаков движения</w:t>
      </w:r>
      <w:r w:rsidRPr="00757925">
        <w:rPr>
          <w:rFonts w:ascii="Times New Roman" w:eastAsia="Calibri" w:hAnsi="Times New Roman" w:cs="Times New Roman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Биогеографическое районирование, его цели и основы. Принципы биогеографического районирования.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Синператы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как предпосылки выделения таксонов биогеографического районирования. Первичные параметры сравнения флор/фаун: таксономическое богатство и его концентрация, таксономический состав, его выравненность и степень доминирования таксонов, оригинальность состава.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Флористические регионы суши. Принципы выделения таксонов различного ранга в системе флористического районирования: царств,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подцарств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областей, провинций, округов. Схема флористических царств А.Л.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Тахтаджана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(1978): Голарктическое, Палеотропическое, Неотропическое, Капское, Австралийское и Голантарктическое. Отличительные черты флоры единиц флористического районирования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(характеристика царств, для Голарктического царства – областей).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Фаунистические регионы суши.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Принципы выделения таксонов различного ранга в системах фаунистического районирования: царств, подобластей, провинций, округов (районов). Система зоогеографических царств и доминионов А.Г. Воронова (1963): Арктогея, Неогея, Нотогея,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Палеогея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Основные зоогеографические области суши: Палеарктическая, Неарктическая, Неотропическая, Эфиопская, Индо-Малайская, Австралийская.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Единые системы биогеографического районирования суши. Соподчиненный ряд хорологических единиц Ж.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Леме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(царство, область (или регион), подобласти, секторы, участки). Система соподчинения категорий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биофилотического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подразделения П.П. Второва и Н.Н. Дроздова.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Флора и фауна Беларуси: история формирования в четвертичный период, краткая характеристика современного видового разнообразия и численности организмов. Геоботаническое и зоогеографическое районирование территории Беларуси.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Default="0043328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6. Основные зональные и горные биомы суши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Широтная зональность. Районирование Земли по биомам, основанное на сходстве реакции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биоты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на условия среды. Категории типологических и регионал</w:t>
      </w:r>
      <w:r w:rsidR="00757925">
        <w:rPr>
          <w:rFonts w:ascii="Times New Roman" w:eastAsia="Calibri" w:hAnsi="Times New Roman" w:cs="Times New Roman"/>
          <w:sz w:val="28"/>
          <w:szCs w:val="28"/>
        </w:rPr>
        <w:t>ьных систем объединения биомов.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Закономерности распределения сообществ суши. Сообщества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зональные и азональные (интразональные, азональные и экстразональные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). Проявление региональных особенностей материков в структуре зон. Растительность и животное население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зонобиомов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тундр и приполярных пустошей, бореальных хвойных лесов, неморальных лесов,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злаковников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умеренного пояса (степей, прерий, пампы), пустынь умеренного, субтропического и тропического поясов,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темплоумеренных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вечнозеленых лиственных лесов, жестколистных лесов и кустарников, тропических листопадных лесов и саванн, вечнозеленых тропических дождевых лесов без сезонной изменчивости. Антропогенные изменения сообществ. Хозяйственное использование сообществ различных зон. Задачи охраны сообществ с учетом зональных и региональных различий.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Высотная поясность сообществ (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оробиомов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) и ее соотношение с широтной зональностью. Классы и типы высотной поясности. Представление о базисных,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подлесных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лесных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надлесных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оробиомах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. Альпийская терминология. Факторы, обуславливающие верхние пределы жизни в горных сообществах. Специфические особенности растительного покрова и животного населения высокогорных поясов. Структура высотной поясности в крупнейших горных системах мира.</w:t>
      </w:r>
    </w:p>
    <w:p w:rsidR="008E4A89" w:rsidRPr="008E4A89" w:rsidRDefault="008E4A89" w:rsidP="008E4A89">
      <w:pPr>
        <w:tabs>
          <w:tab w:val="left" w:pos="0"/>
          <w:tab w:val="left" w:pos="9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7. Учение Н.И. Вавилова о центрах происхождения 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>культурных растений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sz w:val="28"/>
          <w:szCs w:val="28"/>
        </w:rPr>
        <w:t>География культурных растений и домашних животных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Группы культурных растений по происхождению: молодая, сорно-полевая и древняя. Учение Н.И. Вавилова о гомологических рядах и центрах происхождения культурных растений. Центры происхождения культурных растений по Н.И. Вавилову (1940), А.И.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Купцову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(1975) и А.М. Жуковскому (1970), их краткая характеристика. Происхождение домашних животных.</w:t>
      </w:r>
    </w:p>
    <w:p w:rsidR="008E4A89" w:rsidRPr="008E4A8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Default="008E4A89" w:rsidP="0043328D">
      <w:pPr>
        <w:tabs>
          <w:tab w:val="left" w:pos="900"/>
          <w:tab w:val="center" w:pos="467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8. Биогеография островов, Мирового океан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а и эпиконтинентальных водоемов</w:t>
      </w:r>
    </w:p>
    <w:p w:rsidR="0043328D" w:rsidRDefault="0043328D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Биомы океанических островов. Типы островов. Происхождение островов: острова континентального (материкового) и океанического происхождения, периферийные (геосинклинальные острова). Параметры, определяющие миграцию и успех колонизации острова: удаленность, формирование "ловчих углов",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вагильность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видов, приживаемость, устойчивость, выработка адаптаций.</w:t>
      </w:r>
      <w:r w:rsidR="005337A9" w:rsidRPr="00533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7A9">
        <w:rPr>
          <w:rFonts w:ascii="Times New Roman" w:eastAsia="Calibri" w:hAnsi="Times New Roman" w:cs="Times New Roman"/>
          <w:sz w:val="28"/>
          <w:szCs w:val="28"/>
        </w:rPr>
        <w:t>Скорость заселения островов.</w:t>
      </w: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Особенности островных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биот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(«островной отпечаток»): низкое разнообразие, дисгармония, карликовость крупных млекопитающих, </w:t>
      </w: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гигантизм мелких млекопитающих, гигантизм хищных птиц, гигантизм рептилий,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наземность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меланизм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эндемизм, недостаточная пищевая специализация, специфика форм, уязвимость. Проявление а</w:t>
      </w:r>
      <w:r w:rsidR="005337A9">
        <w:rPr>
          <w:rFonts w:ascii="Times New Roman" w:eastAsia="Calibri" w:hAnsi="Times New Roman" w:cs="Times New Roman"/>
          <w:sz w:val="28"/>
          <w:szCs w:val="28"/>
        </w:rPr>
        <w:t>даптивной радиации на островах.</w:t>
      </w:r>
    </w:p>
    <w:p w:rsidR="007726FC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Эволюция островных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биот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Подходы изучения. Теория равновесия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Р.Мак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-Артура и Э. Уилсона (1976). Баланс: иммиграция — вымирание. Зависимость видового разнообразия от площади острова: эффект выборки, средовой эффект, популяционный эффект, эффект изоляции. Вымирание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Океан как среда жизни. Экологические области океана: пелагиаль (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эпипелагиаль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глубоководная пелагиаль),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бенталь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супралитораль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литораль,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сублитораль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батиаль, абиссаль) и их обитатели. Биологическая структура океана в представлении В.И. Вернадского и Л.А. Зенкевича. Ареалы морских животных и растений. Реликты фауны океана.</w:t>
      </w:r>
    </w:p>
    <w:p w:rsidR="007726FC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Системы биогеографического районирования Мирового океана. Критерии районирования. Особенности фауны абиссали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ультрабиссали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Основные промысловые зоны. </w:t>
      </w: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Пресные воды как среда жизни. Первичноводные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вторичноводные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животные, особенности фауны материковых водоемов.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Реофильные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лимнофильные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организмы. Водно-наземные формы. Основные типы эпиконтинентальных водоемов (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олиготрофные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мезотрофные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эвтрофные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). Температу</w:t>
      </w:r>
      <w:r w:rsidR="005337A9">
        <w:rPr>
          <w:rFonts w:ascii="Times New Roman" w:eastAsia="Calibri" w:hAnsi="Times New Roman" w:cs="Times New Roman"/>
          <w:sz w:val="28"/>
          <w:szCs w:val="28"/>
        </w:rPr>
        <w:t>рный режим внутренних водоемов.</w:t>
      </w:r>
    </w:p>
    <w:p w:rsidR="008E4A89" w:rsidRPr="008E4A8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Основные местообитания стоячих водоемов: литораль, пелагиаль,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профундаль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Географические и историко-геологические факторы разнообразия пресноводных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биот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. Сообщества организмов озер, рек, ручьев, грунтовых вод, болот, водоемов пещер и временных водотоков. Специфика флоры и фауны соленых озер и водохранилищ.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9. Биосфера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7A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Биосфера как высший таксон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надорганизменных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систем. История развития представлений о биосфере. Учение В.И. Вернадского о биосфере и ноосфере. Границы и состав биосферы. Группы вещества </w:t>
      </w:r>
      <w:r w:rsidR="005337A9">
        <w:rPr>
          <w:rFonts w:ascii="Times New Roman" w:eastAsia="Calibri" w:hAnsi="Times New Roman" w:cs="Times New Roman"/>
          <w:sz w:val="28"/>
          <w:szCs w:val="28"/>
        </w:rPr>
        <w:t>биосферы (по В.И. Вернадскому).</w:t>
      </w:r>
    </w:p>
    <w:p w:rsidR="005337A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Масса и продуктивность живого вещества в биосфере. Первичная и вторичная продукция. Функции живого вещества в биосфере: энергетическая, концентрационная, деструктивная,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средообразующая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, транспортная. Большой (биосферный) и малый (биологический) круговороты вещества в биосфере. Биогеохимический цикл. Роль организмов в круговороте углерода, азота, фосфора, серы и ртути: их нарушения человеком. Биогеохимические провинции и биогео</w:t>
      </w:r>
      <w:r w:rsidR="005337A9">
        <w:rPr>
          <w:rFonts w:ascii="Times New Roman" w:eastAsia="Calibri" w:hAnsi="Times New Roman" w:cs="Times New Roman"/>
          <w:sz w:val="28"/>
          <w:szCs w:val="28"/>
        </w:rPr>
        <w:t>химические регионы.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Современная среда обитания человека.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Технобиосфера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антропобиосфера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Соотношение понятий экологическая ситуация и экологическая проблема. Экологические проблемы современности. Представление о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гетерохронности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синхронности и цикличности процессов в </w:t>
      </w: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>биосфере. Возможные пути решения экологических проблем и сохранение природного биоразнообразия.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Раздел 10. Значение биогеографии 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рационально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и охран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биологических ресурсов</w:t>
      </w:r>
    </w:p>
    <w:p w:rsidR="0043328D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Современные представления о качестве среды и ее критериях. Методы исследования биогеографии для сохранения биоразнообразия. Организация и значение особо охраняемых природных территорий (заповедников, национальных парков и др.) для сохранения флоры и фауны. Концепции оптимальной организации территории. Гигиена окружающей среды.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Биоиндикация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 биологический мониторинг.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  <w:sectPr w:rsidR="008E4A89" w:rsidRPr="008E4A89" w:rsidSect="004461AB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E4A89" w:rsidRPr="008E4A89" w:rsidRDefault="008E4A89" w:rsidP="008E4A89">
      <w:pPr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4. ИНФОРМАЦИОННО-МЕТОДИЧЕСКАЯ ЧАСТЬ</w:t>
      </w: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Основная</w:t>
      </w:r>
      <w:r w:rsidRPr="008E4A8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Абдурахманов, Г.М. Биогеография: учеб. для студ. УВО / Г.М. Абдурахманов, Е.Г. Мяло, Г.Н.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Огуреева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Изд-ский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2014. – 448 с.</w:t>
      </w:r>
    </w:p>
    <w:p w:rsid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Абрамова, И.В. Биогеография: тестовые задания для </w:t>
      </w:r>
      <w:proofErr w:type="gramStart"/>
      <w:r w:rsidRPr="008E4A89">
        <w:rPr>
          <w:rFonts w:ascii="Times New Roman" w:eastAsia="Calibri" w:hAnsi="Times New Roman" w:cs="Times New Roman"/>
          <w:sz w:val="28"/>
          <w:szCs w:val="28"/>
        </w:rPr>
        <w:t>студентов :</w:t>
      </w:r>
      <w:proofErr w:type="gram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вузов по спец. 1-31 02 01 "География" / И.В. Абрамова; УО "Брестский государственный университет имени А.С. Пушкина". – </w:t>
      </w:r>
      <w:proofErr w:type="gramStart"/>
      <w:r w:rsidRPr="008E4A89">
        <w:rPr>
          <w:rFonts w:ascii="Times New Roman" w:eastAsia="Calibri" w:hAnsi="Times New Roman" w:cs="Times New Roman"/>
          <w:sz w:val="28"/>
          <w:szCs w:val="28"/>
        </w:rPr>
        <w:t>Брест :</w:t>
      </w:r>
      <w:proofErr w:type="gram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имени А.С. Пушкина, 2017. – 176 с.</w:t>
      </w:r>
    </w:p>
    <w:p w:rsidR="008E4A89" w:rsidRDefault="008E4A89" w:rsidP="00FE092E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Бабенко, В.Г. Основы биогеографии: учебник для ВУЗов / В.Г. Бабенко, М.В. Марков. – Москва: Прометей, 2017. – 195 с.</w:t>
      </w:r>
    </w:p>
    <w:p w:rsidR="008E4A89" w:rsidRPr="008E4A89" w:rsidRDefault="008E4A89" w:rsidP="00FE092E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Биогеография. Учебно-методический комплекс: электронное учебное издание / Сост.: И.В. Абрамова. [Электронный ресурс]. – </w:t>
      </w:r>
      <w:proofErr w:type="gramStart"/>
      <w:r w:rsidRPr="008E4A89">
        <w:rPr>
          <w:rFonts w:ascii="Times New Roman" w:eastAsia="Calibri" w:hAnsi="Times New Roman" w:cs="Times New Roman"/>
          <w:sz w:val="28"/>
          <w:szCs w:val="28"/>
        </w:rPr>
        <w:t>Текст.,</w:t>
      </w:r>
      <w:proofErr w:type="gram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графич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. данные, тесты (56,0 МБ). – 2020. Режим доступа: http://rep.brsu.by/handle/123456789/5767</w:t>
      </w:r>
    </w:p>
    <w:p w:rsidR="008E4A89" w:rsidRP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Биогеография: рабочая тетрадь для иностранных студентов географических </w:t>
      </w:r>
      <w:r w:rsidR="0043328D" w:rsidRPr="008E4A89">
        <w:rPr>
          <w:rFonts w:ascii="Times New Roman" w:eastAsia="Calibri" w:hAnsi="Times New Roman" w:cs="Times New Roman"/>
          <w:sz w:val="28"/>
          <w:szCs w:val="28"/>
        </w:rPr>
        <w:t>специальностей</w:t>
      </w:r>
      <w:r w:rsidR="00433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/ Н. М.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Писарчук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Е. В.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Матюшевская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8E4A89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БГУ, 2020. – 68 с.</w:t>
      </w:r>
    </w:p>
    <w:p w:rsidR="008E4A89" w:rsidRP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</w:rPr>
        <w:t xml:space="preserve">Жирков, И.А. Биогеография. Общая и частная - суши, моря и континентальных </w:t>
      </w:r>
      <w:proofErr w:type="gramStart"/>
      <w:r w:rsidRPr="008E4A89">
        <w:rPr>
          <w:rFonts w:ascii="Times New Roman" w:eastAsia="Calibri" w:hAnsi="Times New Roman" w:cs="Times New Roman"/>
          <w:sz w:val="28"/>
        </w:rPr>
        <w:t xml:space="preserve">водоёмов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gram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 Жирков. – Москва: Товарищество научных изданий КМК, 2017. – 568 с.</w:t>
      </w:r>
    </w:p>
    <w:p w:rsidR="008E4A89" w:rsidRP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Киселев, В.Н</w:t>
      </w:r>
      <w:r w:rsidRPr="008E4A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экологии. Мн.: Университетское, 2000. – 362 с.</w:t>
      </w:r>
    </w:p>
    <w:p w:rsidR="008E4A89" w:rsidRPr="008E4A89" w:rsidRDefault="008E4A89" w:rsidP="008E4A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дополнительной литературы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Гурова, Т.Ф. Основы экологии и рационального природопользования. </w:t>
      </w:r>
      <w:r w:rsidR="00E53CB7">
        <w:rPr>
          <w:rFonts w:ascii="Times New Roman" w:eastAsia="Calibri" w:hAnsi="Times New Roman" w:cs="Times New Roman"/>
          <w:color w:val="000000"/>
          <w:sz w:val="28"/>
          <w:szCs w:val="28"/>
        </w:rPr>
        <w:t>/ Т.Ф. Гурова, Л.В. Назаренко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: ОНИКС, 2005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224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Радченко, Т. А. Биогеография: курс лекций: [учеб. пособие] / Т. А. Радченко, Ю. Е. Михайлов, В. В. Валдайских; [науч. ред. Г. И. Махонина]; М-во образования и науки Рос. Федерации, Урал. </w:t>
      </w:r>
      <w:proofErr w:type="spellStart"/>
      <w:r w:rsidRPr="008E4A89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Pr="008E4A89">
        <w:rPr>
          <w:rFonts w:ascii="Times New Roman" w:eastAsia="Calibri" w:hAnsi="Times New Roman" w:cs="Times New Roman"/>
          <w:sz w:val="28"/>
          <w:szCs w:val="28"/>
        </w:rPr>
        <w:t>. ун-т. — Екатеринбург: Изд-во Урал. ун-та, 2015. – 164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Агаханянц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О.Е. Биогеография с основами экологии.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О.Е.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Агаханянц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И.И.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Кирвель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Мн.: «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Технопринт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2005. – 464 с. 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Волкова, П.А. Основы общей экологии: [учебное пособие] / П.А. Волкова. – Москва: Форум, 2016. – 125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Воронин, Ф.Н. Фауна Белоруссии и охрана природы.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Мн.: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Вышэйшая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школа, 1967. – 418 с.</w:t>
      </w:r>
    </w:p>
    <w:p w:rsidR="008E4A89" w:rsidRPr="008E4A89" w:rsidRDefault="00FE092E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Воронов, А.Г. </w:t>
      </w:r>
      <w:r w:rsidR="008E4A89"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Биогеография с основами экологии.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А.Г. 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Н.Н.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Дроздов,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Д.А. </w:t>
      </w:r>
      <w:proofErr w:type="spellStart"/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>Криволуцкий</w:t>
      </w:r>
      <w:proofErr w:type="spellEnd"/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Е.Г. Мяло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E4A89"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М.: Изд-во «Высшая школа», 2002, – 392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Киселев, В.Н.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Биогеография с основами экологии. Мн.: Университетское, 1995</w:t>
      </w:r>
      <w:r w:rsidR="00FE09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350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Лопатин, И.К</w:t>
      </w:r>
      <w:r w:rsidRPr="008E4A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Зоогеография. Минск: Высшая школа, 1989</w:t>
      </w:r>
      <w:r w:rsidR="00FE09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315 с.</w:t>
      </w:r>
    </w:p>
    <w:p w:rsidR="008E4A89" w:rsidRPr="008E4A89" w:rsidRDefault="008E4A89" w:rsidP="00FE09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Одум</w:t>
      </w:r>
      <w:proofErr w:type="spellEnd"/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Ю.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Экология. В 2-х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т.М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.: Мир, 1</w:t>
      </w:r>
      <w:r w:rsidR="00E53CB7">
        <w:rPr>
          <w:rFonts w:ascii="Times New Roman" w:eastAsia="Calibri" w:hAnsi="Times New Roman" w:cs="Times New Roman"/>
          <w:color w:val="000000"/>
          <w:sz w:val="28"/>
          <w:szCs w:val="28"/>
        </w:rPr>
        <w:t>986.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520 с.</w:t>
      </w:r>
    </w:p>
    <w:p w:rsidR="008E4A89" w:rsidRPr="008E4A89" w:rsidRDefault="008E4A89" w:rsidP="00FE09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Красная книга Республики Беларусь. Растения: Редкие и находящиеся под угрозой исчезновения виды дикорастущих растений. 4-е изд. Минск: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БелЭн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П. Бровки, 2015. − 448 с.</w:t>
      </w:r>
    </w:p>
    <w:p w:rsidR="008E4A89" w:rsidRPr="008E4A89" w:rsidRDefault="008E4A89" w:rsidP="00FE09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Красная книга Республики Беларусь. Животные: редкие и находящиеся под угрозой исчезновения виды диких животных. − 4-е изд. − Минск: </w:t>
      </w:r>
      <w:proofErr w:type="spellStart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БелЭн</w:t>
      </w:r>
      <w:proofErr w:type="spellEnd"/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П. Бровки, 2015. − 320 с.</w:t>
      </w:r>
    </w:p>
    <w:p w:rsidR="008E4A89" w:rsidRPr="008E4A89" w:rsidRDefault="008E4A89" w:rsidP="00FE092E">
      <w:pPr>
        <w:tabs>
          <w:tab w:val="left" w:pos="360"/>
        </w:tabs>
        <w:spacing w:after="0" w:line="240" w:lineRule="auto"/>
        <w:ind w:left="357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Перечень рекомендуемых средств диагностики и методика формирования итоговой оценки 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Формой текущей аттестации по дисциплине «Биогеография» учебным планом предусмотрен экзамен. </w:t>
      </w:r>
    </w:p>
    <w:p w:rsidR="008E4A89" w:rsidRPr="008E4A89" w:rsidRDefault="008E4A89" w:rsidP="008E4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Итоговая оценка формируется на основе 3-х документов:</w:t>
      </w:r>
    </w:p>
    <w:p w:rsidR="008E4A89" w:rsidRPr="008E4A89" w:rsidRDefault="008E4A89" w:rsidP="008E4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1. Правила проведения аттестации студентов, курсантов, слушателей при освоении содержания образовательных программ высшего образования (Постановление Министерства образования Республики Беларусь от 29.05.2012 г. № 53).</w:t>
      </w:r>
    </w:p>
    <w:p w:rsidR="008E4A89" w:rsidRPr="008E4A89" w:rsidRDefault="008E4A89" w:rsidP="008E4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2. Положение о рейтинговой системе оценки знаний студентов по дисциплине в БГУ (Приказ ректора БГУ № 189–ОД от 31.03.2020.</w:t>
      </w:r>
    </w:p>
    <w:p w:rsidR="008E4A89" w:rsidRPr="008E4A89" w:rsidRDefault="008E4A89" w:rsidP="008E4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3. Критерии оценки знаний студентов по 10-бальной шкале (Письмо Министерства образования Республики Беларусь № 21-04-01/105 от 22.12.2003).</w:t>
      </w:r>
    </w:p>
    <w:p w:rsidR="008E4A89" w:rsidRPr="008E4A89" w:rsidRDefault="008E4A89" w:rsidP="008E4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 Рейтинговая оценка по дисциплине рассчитывается на основе оценки текущей успеваемости и экзаменационной оценки с учетом их весовых коэффициентов. </w:t>
      </w:r>
    </w:p>
    <w:p w:rsidR="008E4A89" w:rsidRPr="008E4A89" w:rsidRDefault="008E4A89" w:rsidP="008E4A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Методические рекомендации по организации 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самостоятельной работы обучающихся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– способ активного, целенаправленного приобретения новых знаний и умений под руководством преподавателей. Она направлена на углубление и закрепление знаний студента, развитие аналитических навыков по проблематике учебной дисциплины. Подведение итогов и оценка результатов таких форм самостоятельной работы осуществляется во время контактных часов с преподавателем, что обеспечивает формирование устойчивых знаний по наиболее сложным, в информационном плане, темам учебной дисциплины. Внедрение в учебный процесс элементов исследования требует создания учебно-методической литературы, использование которой позволило бы научить студентов умению работать с учебными пособиями и </w:t>
      </w:r>
      <w:r w:rsidRPr="008E4A89">
        <w:rPr>
          <w:rFonts w:ascii="Times New Roman" w:eastAsia="Calibri" w:hAnsi="Times New Roman" w:cs="Times New Roman"/>
          <w:sz w:val="28"/>
          <w:szCs w:val="28"/>
        </w:rPr>
        <w:lastRenderedPageBreak/>
        <w:t>картографическим материалом, использовать современные информационные технологии, анализировать и систематизировать факты.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Важнейшей частью обучения и контроля за самостоятельной работой студентов географического факультета являются практические занятия по учебной дисциплине «Биогеография». Задачами этих занятий являются: научить студентов ориентироваться в научной географической литературе, повысить интерес к вопросам научного познания Земли, углубить и расширить географический кругозор студентов. Знания, полученные при изучении курса «Биогеография» будут востребованы при изучении целого ряда учебных дисциплин на старших курсах. 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A24" w:rsidRDefault="00B67A24"/>
    <w:sectPr w:rsidR="00B6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2F1"/>
    <w:multiLevelType w:val="hybridMultilevel"/>
    <w:tmpl w:val="073CF0D0"/>
    <w:lvl w:ilvl="0" w:tplc="609EF9CE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B24A1"/>
    <w:multiLevelType w:val="hybridMultilevel"/>
    <w:tmpl w:val="DE4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59C2"/>
    <w:multiLevelType w:val="hybridMultilevel"/>
    <w:tmpl w:val="45C4C6D0"/>
    <w:lvl w:ilvl="0" w:tplc="ACAA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2A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C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4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0E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8B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C7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6176C0"/>
    <w:multiLevelType w:val="hybridMultilevel"/>
    <w:tmpl w:val="EBACC1AE"/>
    <w:lvl w:ilvl="0" w:tplc="453C5B96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D"/>
    <w:rsid w:val="0001347A"/>
    <w:rsid w:val="000B13CA"/>
    <w:rsid w:val="002E5F7F"/>
    <w:rsid w:val="004175C4"/>
    <w:rsid w:val="0043328D"/>
    <w:rsid w:val="005337A9"/>
    <w:rsid w:val="005C77C6"/>
    <w:rsid w:val="00675E4D"/>
    <w:rsid w:val="007008A4"/>
    <w:rsid w:val="00757925"/>
    <w:rsid w:val="007726FC"/>
    <w:rsid w:val="007A53DF"/>
    <w:rsid w:val="008E4A89"/>
    <w:rsid w:val="00A10DF1"/>
    <w:rsid w:val="00A82A39"/>
    <w:rsid w:val="00A91CD8"/>
    <w:rsid w:val="00B43D39"/>
    <w:rsid w:val="00B67A24"/>
    <w:rsid w:val="00E53CB7"/>
    <w:rsid w:val="00EC09C8"/>
    <w:rsid w:val="00FA558F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8198-E4C9-4B47-B559-4AFE02C5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7E99DE15E40B2BAB8A29378E84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0338A-88CB-4257-BFA1-2B259490323A}"/>
      </w:docPartPr>
      <w:docPartBody>
        <w:p w:rsidR="001A6921" w:rsidRDefault="00836B0B" w:rsidP="00836B0B">
          <w:pPr>
            <w:pStyle w:val="BAC7E99DE15E40B2BAB8A29378E84489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B"/>
    <w:rsid w:val="00126DEC"/>
    <w:rsid w:val="001A6921"/>
    <w:rsid w:val="00582A16"/>
    <w:rsid w:val="00836B0B"/>
    <w:rsid w:val="009832E0"/>
    <w:rsid w:val="009A06E3"/>
    <w:rsid w:val="00A84B10"/>
    <w:rsid w:val="00C81E9C"/>
    <w:rsid w:val="00C86374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B0B"/>
    <w:rPr>
      <w:color w:val="808080"/>
    </w:rPr>
  </w:style>
  <w:style w:type="paragraph" w:customStyle="1" w:styleId="BAC7E99DE15E40B2BAB8A29378E84489">
    <w:name w:val="BAC7E99DE15E40B2BAB8A29378E84489"/>
    <w:rsid w:val="00836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3</cp:revision>
  <dcterms:created xsi:type="dcterms:W3CDTF">2022-05-30T09:15:00Z</dcterms:created>
  <dcterms:modified xsi:type="dcterms:W3CDTF">2022-05-30T09:34:00Z</dcterms:modified>
</cp:coreProperties>
</file>